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Zad 1</w:t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>
          <w:rtl w:val="0"/>
        </w:rPr>
        <w:t xml:space="preserve">Obraz bazowy</w:t>
      </w:r>
      <w:r w:rsidDel="00000000" w:rsidR="00000000" w:rsidRPr="00000000">
        <w:rPr/>
        <w:drawing>
          <wp:inline distB="114300" distT="114300" distL="114300" distR="114300">
            <wp:extent cx="5731200" cy="2730500"/>
            <wp:effectExtent b="0" l="0" r="0" t="0"/>
            <wp:docPr id="15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/>
      </w:pPr>
      <w:r w:rsidDel="00000000" w:rsidR="00000000" w:rsidRPr="00000000">
        <w:rPr>
          <w:rtl w:val="0"/>
        </w:rPr>
        <w:t xml:space="preserve">Filtr medianowy</w:t>
      </w:r>
    </w:p>
    <w:p w:rsidR="00000000" w:rsidDel="00000000" w:rsidP="00000000" w:rsidRDefault="00000000" w:rsidRPr="00000000" w14:paraId="0000000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1524000"/>
            <wp:effectExtent b="0" l="0" r="0" t="0"/>
            <wp:docPr id="3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/>
      </w:pPr>
      <w:r w:rsidDel="00000000" w:rsidR="00000000" w:rsidRPr="00000000">
        <w:rPr>
          <w:rtl w:val="0"/>
        </w:rPr>
        <w:t xml:space="preserve">Filtr Gaussowski</w:t>
      </w:r>
    </w:p>
    <w:p w:rsidR="00000000" w:rsidDel="00000000" w:rsidP="00000000" w:rsidRDefault="00000000" w:rsidRPr="00000000" w14:paraId="0000000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1549400"/>
            <wp:effectExtent b="0" l="0" r="0" t="0"/>
            <wp:docPr id="2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/>
      </w:pPr>
      <w:r w:rsidDel="00000000" w:rsidR="00000000" w:rsidRPr="00000000">
        <w:rPr>
          <w:rtl w:val="0"/>
        </w:rPr>
        <w:t xml:space="preserve">Filtr ruchomej średniej</w:t>
      </w:r>
    </w:p>
    <w:p w:rsidR="00000000" w:rsidDel="00000000" w:rsidP="00000000" w:rsidRDefault="00000000" w:rsidRPr="00000000" w14:paraId="0000000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156210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/>
      </w:pPr>
      <w:r w:rsidDel="00000000" w:rsidR="00000000" w:rsidRPr="00000000">
        <w:rPr>
          <w:rtl w:val="0"/>
        </w:rPr>
        <w:t xml:space="preserve">Filtracja medianowa - Filtracja medianowa polega na przeglądaniu obrazu cyfrowego piksel po pikselu z oknem ustalonego rozmiaru, najczęściej oknem nieparzystym lub oknem w kształcie krzyża. Wartość piksela centralnego zastępowana jest medianą ze zbioru pikseli w jego sąsiedztwie wyznaczonym przez okno przetwarzania.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Zad 2</w:t>
      </w:r>
    </w:p>
    <w:p w:rsidR="00000000" w:rsidDel="00000000" w:rsidP="00000000" w:rsidRDefault="00000000" w:rsidRPr="00000000" w14:paraId="0000000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2692400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379730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3213100"/>
            <wp:effectExtent b="0" l="0" r="0" t="0"/>
            <wp:docPr id="2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2806700"/>
            <wp:effectExtent b="0" l="0" r="0" t="0"/>
            <wp:docPr id="3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22700"/>
            <wp:effectExtent b="0" l="0" r="0" t="0"/>
            <wp:docPr id="4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Działanie algorytmu wykrywania tablic rejestracyjnych wykorzystuje wykrywanie krawędzi [4,6,7] zlicza liczbę zmian jasności w każdym wierszu obrazu, a następnie wybiera sąsiadujące ze sobą wiersze charakteryzujące się największą liczbą zmian. Do wykrywania krawędzi stosuje się filtry środkowoprzepustowe.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Zad 3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44700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939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87500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GrabCut to metoda segmentacji obrazu oparta na cięciach wykresu . Rozpoczynając od zdefiniowanej przez użytkownika ramki ograniczającej wokół obiektu, który ma być segmentowany, algorytm szacuje rozkład kolorów obiektu docelowego i tła przy użyciu modelu mieszanin Gaussa (GMM). Model mieszaniny Gaussa ( GMM ) jest kategorią modelu probabilistycznego, który zakłada, że ​​obserwowane dane składają się z mieszaniny kilku rozkładów Gaussa. Te indywidualne rozkłady (określane jako składniki mieszaniny) mogą mieć różne średnie i wariancje. Mogą również otrzymać różne masy mieszanin. Zasadniczo jest tutaj używany do grupowania.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Zad 4</w:t>
      </w:r>
    </w:p>
    <w:p w:rsidR="00000000" w:rsidDel="00000000" w:rsidP="00000000" w:rsidRDefault="00000000" w:rsidRPr="00000000" w14:paraId="00000021">
      <w:pPr>
        <w:jc w:val="center"/>
        <w:rPr/>
      </w:pPr>
      <w:r w:rsidDel="00000000" w:rsidR="00000000" w:rsidRPr="00000000">
        <w:rPr>
          <w:rtl w:val="0"/>
        </w:rPr>
        <w:t xml:space="preserve">Erosion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2667000"/>
            <wp:effectExtent b="0" l="0" r="0" t="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152775" cy="2095500"/>
            <wp:effectExtent b="0" l="0" r="0" t="0"/>
            <wp:docPr id="3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center"/>
        <w:rPr/>
      </w:pPr>
      <w:r w:rsidDel="00000000" w:rsidR="00000000" w:rsidRPr="00000000">
        <w:rPr>
          <w:rtl w:val="0"/>
        </w:rPr>
        <w:t xml:space="preserve">Dilation</w:t>
      </w:r>
    </w:p>
    <w:p w:rsidR="00000000" w:rsidDel="00000000" w:rsidP="00000000" w:rsidRDefault="00000000" w:rsidRPr="00000000" w14:paraId="0000002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2692400"/>
            <wp:effectExtent b="0" l="0" r="0" t="0"/>
            <wp:docPr id="2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05175" cy="2133600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/>
      </w:pPr>
      <w:r w:rsidDel="00000000" w:rsidR="00000000" w:rsidRPr="00000000">
        <w:rPr>
          <w:rtl w:val="0"/>
        </w:rPr>
        <w:t xml:space="preserve">Opening</w:t>
      </w:r>
    </w:p>
    <w:p w:rsidR="00000000" w:rsidDel="00000000" w:rsidP="00000000" w:rsidRDefault="00000000" w:rsidRPr="00000000" w14:paraId="0000002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2705100"/>
            <wp:effectExtent b="0" l="0" r="0" t="0"/>
            <wp:docPr id="3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190875" cy="2124075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124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/>
      </w:pPr>
      <w:r w:rsidDel="00000000" w:rsidR="00000000" w:rsidRPr="00000000">
        <w:rPr>
          <w:rtl w:val="0"/>
        </w:rPr>
        <w:t xml:space="preserve">Closing</w:t>
      </w:r>
    </w:p>
    <w:p w:rsidR="00000000" w:rsidDel="00000000" w:rsidP="00000000" w:rsidRDefault="00000000" w:rsidRPr="00000000" w14:paraId="0000002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2705100"/>
            <wp:effectExtent b="0" l="0" r="0" t="0"/>
            <wp:docPr id="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19450" cy="211455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114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center"/>
        <w:rPr/>
      </w:pPr>
      <w:r w:rsidDel="00000000" w:rsidR="00000000" w:rsidRPr="00000000">
        <w:rPr>
          <w:rtl w:val="0"/>
        </w:rPr>
        <w:t xml:space="preserve">Gradient</w:t>
      </w:r>
    </w:p>
    <w:p w:rsidR="00000000" w:rsidDel="00000000" w:rsidP="00000000" w:rsidRDefault="00000000" w:rsidRPr="00000000" w14:paraId="0000002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27432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33750" cy="2105025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10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center"/>
        <w:rPr/>
      </w:pPr>
      <w:r w:rsidDel="00000000" w:rsidR="00000000" w:rsidRPr="00000000">
        <w:rPr>
          <w:rtl w:val="0"/>
        </w:rPr>
        <w:t xml:space="preserve">Tophat</w:t>
      </w:r>
    </w:p>
    <w:p w:rsidR="00000000" w:rsidDel="00000000" w:rsidP="00000000" w:rsidRDefault="00000000" w:rsidRPr="00000000" w14:paraId="0000003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2730500"/>
            <wp:effectExtent b="0" l="0" r="0" t="0"/>
            <wp:docPr id="2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19450" cy="2124075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124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center"/>
        <w:rPr/>
      </w:pPr>
      <w:r w:rsidDel="00000000" w:rsidR="00000000" w:rsidRPr="00000000">
        <w:rPr>
          <w:rtl w:val="0"/>
        </w:rPr>
        <w:t xml:space="preserve">Dilatation jest to wartość minimalna z obrazu wejściowego poddanego dylatacji jednostkowym elementem strukturalnym oraz maski. W przypadku obrazów logicznych jest to iloczyn logiczny maski oraz obrazu po dylatacji. Zakłada się, że D(obraz) ¬ maska.</w:t>
      </w:r>
    </w:p>
    <w:p w:rsidR="00000000" w:rsidDel="00000000" w:rsidP="00000000" w:rsidRDefault="00000000" w:rsidRPr="00000000" w14:paraId="00000035">
      <w:pPr>
        <w:jc w:val="center"/>
        <w:rPr/>
      </w:pPr>
      <w:r w:rsidDel="00000000" w:rsidR="00000000" w:rsidRPr="00000000">
        <w:rPr>
          <w:rtl w:val="0"/>
        </w:rPr>
        <w:t xml:space="preserve">Erosion jest to wartość maksymalna z obrazu wejściowego poddanego erozji jednostkowym elementem strukturalnym oraz maski. W przypadku obrazów logicznych jest to suma logiczna maski oraz obrazu po erozji. Zakłada się, że E(obraz) ­ maska. </w:t>
      </w:r>
    </w:p>
    <w:p w:rsidR="00000000" w:rsidDel="00000000" w:rsidP="00000000" w:rsidRDefault="00000000" w:rsidRPr="00000000" w14:paraId="0000003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Zad 5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center"/>
        <w:rPr/>
      </w:pPr>
      <w:r w:rsidDel="00000000" w:rsidR="00000000" w:rsidRPr="00000000">
        <w:rPr>
          <w:rtl w:val="0"/>
        </w:rPr>
        <w:t xml:space="preserve">Fixed threshold</w:t>
      </w:r>
    </w:p>
    <w:p w:rsidR="00000000" w:rsidDel="00000000" w:rsidP="00000000" w:rsidRDefault="00000000" w:rsidRPr="00000000" w14:paraId="0000003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543050" cy="230505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2305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538288" cy="2307431"/>
            <wp:effectExtent b="0" l="0" r="0" t="0"/>
            <wp:docPr id="4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8288" cy="23074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190750" cy="2314575"/>
            <wp:effectExtent b="0" l="0" r="0" t="0"/>
            <wp:docPr id="3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2314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341608" cy="2302363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1608" cy="2302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center"/>
        <w:rPr/>
      </w:pPr>
      <w:r w:rsidDel="00000000" w:rsidR="00000000" w:rsidRPr="00000000">
        <w:rPr>
          <w:rtl w:val="0"/>
        </w:rPr>
        <w:t xml:space="preserve">Otsu</w:t>
      </w:r>
    </w:p>
    <w:p w:rsidR="00000000" w:rsidDel="00000000" w:rsidP="00000000" w:rsidRDefault="00000000" w:rsidRPr="00000000" w14:paraId="0000004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543050" cy="2305050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2305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552575" cy="2315651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23156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190750" cy="2314575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2314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258429" cy="2312202"/>
            <wp:effectExtent b="0" l="0" r="0" t="0"/>
            <wp:docPr id="3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8429" cy="23122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center"/>
        <w:rPr/>
      </w:pPr>
      <w:r w:rsidDel="00000000" w:rsidR="00000000" w:rsidRPr="00000000">
        <w:rPr>
          <w:rtl w:val="0"/>
        </w:rPr>
        <w:t xml:space="preserve">Adaptive</w:t>
      </w:r>
    </w:p>
    <w:p w:rsidR="00000000" w:rsidDel="00000000" w:rsidP="00000000" w:rsidRDefault="00000000" w:rsidRPr="00000000" w14:paraId="0000004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543050" cy="2305050"/>
            <wp:effectExtent b="0" l="0" r="0" t="0"/>
            <wp:docPr id="2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2305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581150" cy="2315964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23159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190750" cy="2314575"/>
            <wp:effectExtent b="0" l="0" r="0" t="0"/>
            <wp:docPr id="3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2314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320465" cy="2300288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0465" cy="2300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center"/>
        <w:rPr/>
      </w:pPr>
      <w:r w:rsidDel="00000000" w:rsidR="00000000" w:rsidRPr="00000000">
        <w:rPr>
          <w:rtl w:val="0"/>
        </w:rPr>
        <w:t xml:space="preserve">Adaptive thresholding to metoda, w której wartość progowa jest obliczana dla mniejszych regionów, a zatem dla różnych regionów będą występować różne wartości progowe.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Zad 6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61483" cy="2407062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1483" cy="24070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09064" cy="2315262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9064" cy="23152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510489" cy="2871161"/>
            <wp:effectExtent b="0" l="0" r="0" t="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0489" cy="28711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2984500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center"/>
        <w:rPr/>
      </w:pPr>
      <w:r w:rsidDel="00000000" w:rsidR="00000000" w:rsidRPr="00000000">
        <w:rPr>
          <w:rtl w:val="0"/>
        </w:rPr>
        <w:t xml:space="preserve">Face detection działa na podstawie kaskadowych klasyfikatorów, które są wykorzystują technikę maszynowego uczenia poprzez przestudiowanie obrazów z twarzami i bez i wyuczenie się jakie cechy posiada ludzka twarz.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l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2.png"/><Relationship Id="rId20" Type="http://schemas.openxmlformats.org/officeDocument/2006/relationships/image" Target="media/image29.png"/><Relationship Id="rId41" Type="http://schemas.openxmlformats.org/officeDocument/2006/relationships/image" Target="media/image16.png"/><Relationship Id="rId22" Type="http://schemas.openxmlformats.org/officeDocument/2006/relationships/image" Target="media/image35.png"/><Relationship Id="rId21" Type="http://schemas.openxmlformats.org/officeDocument/2006/relationships/image" Target="media/image14.png"/><Relationship Id="rId24" Type="http://schemas.openxmlformats.org/officeDocument/2006/relationships/image" Target="media/image25.png"/><Relationship Id="rId23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26" Type="http://schemas.openxmlformats.org/officeDocument/2006/relationships/image" Target="media/image9.png"/><Relationship Id="rId25" Type="http://schemas.openxmlformats.org/officeDocument/2006/relationships/image" Target="media/image5.png"/><Relationship Id="rId28" Type="http://schemas.openxmlformats.org/officeDocument/2006/relationships/image" Target="media/image27.png"/><Relationship Id="rId27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image" Target="media/image1.jpg"/><Relationship Id="rId29" Type="http://schemas.openxmlformats.org/officeDocument/2006/relationships/image" Target="media/image6.png"/><Relationship Id="rId7" Type="http://schemas.openxmlformats.org/officeDocument/2006/relationships/image" Target="media/image23.png"/><Relationship Id="rId8" Type="http://schemas.openxmlformats.org/officeDocument/2006/relationships/image" Target="media/image19.png"/><Relationship Id="rId31" Type="http://schemas.openxmlformats.org/officeDocument/2006/relationships/image" Target="media/image28.png"/><Relationship Id="rId30" Type="http://schemas.openxmlformats.org/officeDocument/2006/relationships/image" Target="media/image2.png"/><Relationship Id="rId11" Type="http://schemas.openxmlformats.org/officeDocument/2006/relationships/image" Target="media/image11.png"/><Relationship Id="rId33" Type="http://schemas.openxmlformats.org/officeDocument/2006/relationships/image" Target="media/image10.png"/><Relationship Id="rId10" Type="http://schemas.openxmlformats.org/officeDocument/2006/relationships/image" Target="media/image24.png"/><Relationship Id="rId32" Type="http://schemas.openxmlformats.org/officeDocument/2006/relationships/image" Target="media/image15.png"/><Relationship Id="rId13" Type="http://schemas.openxmlformats.org/officeDocument/2006/relationships/image" Target="media/image32.png"/><Relationship Id="rId35" Type="http://schemas.openxmlformats.org/officeDocument/2006/relationships/image" Target="media/image30.png"/><Relationship Id="rId12" Type="http://schemas.openxmlformats.org/officeDocument/2006/relationships/image" Target="media/image33.png"/><Relationship Id="rId34" Type="http://schemas.openxmlformats.org/officeDocument/2006/relationships/image" Target="media/image12.png"/><Relationship Id="rId15" Type="http://schemas.openxmlformats.org/officeDocument/2006/relationships/image" Target="media/image36.png"/><Relationship Id="rId37" Type="http://schemas.openxmlformats.org/officeDocument/2006/relationships/image" Target="media/image7.png"/><Relationship Id="rId14" Type="http://schemas.openxmlformats.org/officeDocument/2006/relationships/image" Target="media/image20.jpg"/><Relationship Id="rId36" Type="http://schemas.openxmlformats.org/officeDocument/2006/relationships/image" Target="media/image21.png"/><Relationship Id="rId17" Type="http://schemas.openxmlformats.org/officeDocument/2006/relationships/image" Target="media/image17.png"/><Relationship Id="rId39" Type="http://schemas.openxmlformats.org/officeDocument/2006/relationships/image" Target="media/image18.png"/><Relationship Id="rId16" Type="http://schemas.openxmlformats.org/officeDocument/2006/relationships/image" Target="media/image8.png"/><Relationship Id="rId38" Type="http://schemas.openxmlformats.org/officeDocument/2006/relationships/image" Target="media/image34.png"/><Relationship Id="rId19" Type="http://schemas.openxmlformats.org/officeDocument/2006/relationships/image" Target="media/image26.png"/><Relationship Id="rId1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